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AB" w:rsidRPr="00BF14B8" w:rsidRDefault="000941AB" w:rsidP="000941AB">
      <w:pPr>
        <w:pStyle w:val="Kop1"/>
      </w:pPr>
      <w:r w:rsidRPr="00BF14B8">
        <w:t>Attitudes en vaardigheden democratische rechtstaat</w:t>
      </w:r>
    </w:p>
    <w:p w:rsidR="000941AB" w:rsidRPr="00BF14B8" w:rsidRDefault="000941AB" w:rsidP="000941AB">
      <w:r w:rsidRPr="00BF14B8">
        <w:t xml:space="preserve">Deze attitudes en vaardigheden bouwen in verschillende fasen op elkaar voort. Bij fase 2 hoort dus automatisch ook wat bij fase </w:t>
      </w:r>
      <w:r>
        <w:t xml:space="preserve">1 </w:t>
      </w:r>
      <w:r w:rsidRPr="00BF14B8">
        <w:t xml:space="preserve">staat benoemd. </w:t>
      </w:r>
      <w:bookmarkStart w:id="0" w:name="_GoBack"/>
      <w:bookmarkEnd w:id="0"/>
    </w:p>
    <w:p w:rsidR="000941AB" w:rsidRPr="00BF14B8" w:rsidRDefault="000941AB" w:rsidP="000941AB">
      <w:pPr>
        <w:rPr>
          <w:rFonts w:cs="Lucida Sans Unicode"/>
        </w:rPr>
      </w:pPr>
    </w:p>
    <w:tbl>
      <w:tblPr>
        <w:tblStyle w:val="Tabelraster"/>
        <w:tblW w:w="14073" w:type="dxa"/>
        <w:tblLook w:val="04A0" w:firstRow="1" w:lastRow="0" w:firstColumn="1" w:lastColumn="0" w:noHBand="0" w:noVBand="1"/>
      </w:tblPr>
      <w:tblGrid>
        <w:gridCol w:w="4691"/>
        <w:gridCol w:w="4691"/>
        <w:gridCol w:w="4691"/>
      </w:tblGrid>
      <w:tr w:rsidR="000941AB" w:rsidRPr="000941AB" w:rsidTr="00661B9C">
        <w:trPr>
          <w:trHeight w:val="300"/>
        </w:trPr>
        <w:tc>
          <w:tcPr>
            <w:tcW w:w="14073" w:type="dxa"/>
            <w:gridSpan w:val="3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Houdingen en attitudes</w:t>
            </w:r>
          </w:p>
        </w:tc>
      </w:tr>
      <w:tr w:rsidR="000941AB" w:rsidRPr="000941AB" w:rsidTr="00661B9C">
        <w:trPr>
          <w:trHeight w:val="300"/>
        </w:trPr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0941AB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1</w:t>
            </w:r>
          </w:p>
        </w:tc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2</w:t>
            </w:r>
          </w:p>
        </w:tc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3</w:t>
            </w:r>
          </w:p>
        </w:tc>
      </w:tr>
      <w:tr w:rsidR="000941AB" w:rsidRPr="00BF14B8" w:rsidTr="00661B9C">
        <w:trPr>
          <w:trHeight w:val="369"/>
        </w:trPr>
        <w:tc>
          <w:tcPr>
            <w:tcW w:w="4691" w:type="dxa"/>
            <w:tcBorders>
              <w:bottom w:val="single" w:sz="4" w:space="0" w:color="auto"/>
            </w:tcBorders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8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Luistert naar de ander.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8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Kent afspraken en leeft deze na.</w:t>
            </w:r>
          </w:p>
          <w:p w:rsidR="000941AB" w:rsidRPr="00FA26C7" w:rsidRDefault="000941AB" w:rsidP="00661B9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Lost conflicten op vreedzame wijze op.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Leert dat gelijke rechten, plichten en kansen voor iedereen gelden.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Maakt contact vanuit respect voor anderen en algemeen aanvaarde waarden en normen.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Geeft anderen de gelegenheid zich te uiten.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zich neerleggen bij meerderheidsbesluiten in een groep.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Onderneemt actie om in de eigen gemeenschap mensen- en kinderrechten op het gebied van vrijheid, veiligheid, gelijkheid en respect te realiseren.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Heeft vertrouwen in anderen en instituties.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Verhoudt zich ten aanzien van maatschappelijke kwesties.</w:t>
            </w:r>
          </w:p>
        </w:tc>
      </w:tr>
      <w:tr w:rsidR="000941AB" w:rsidRPr="000941AB" w:rsidTr="00661B9C">
        <w:trPr>
          <w:trHeight w:val="300"/>
        </w:trPr>
        <w:tc>
          <w:tcPr>
            <w:tcW w:w="14073" w:type="dxa"/>
            <w:gridSpan w:val="3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Vaardigheden</w:t>
            </w:r>
          </w:p>
        </w:tc>
      </w:tr>
      <w:tr w:rsidR="000941AB" w:rsidRPr="000941AB" w:rsidTr="00661B9C">
        <w:trPr>
          <w:trHeight w:val="300"/>
        </w:trPr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0941AB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1</w:t>
            </w:r>
          </w:p>
        </w:tc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2</w:t>
            </w:r>
          </w:p>
        </w:tc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3</w:t>
            </w:r>
          </w:p>
        </w:tc>
      </w:tr>
      <w:tr w:rsidR="000941AB" w:rsidRPr="00BF14B8" w:rsidTr="00661B9C">
        <w:trPr>
          <w:trHeight w:val="2098"/>
        </w:trPr>
        <w:tc>
          <w:tcPr>
            <w:tcW w:w="4691" w:type="dxa"/>
            <w:shd w:val="clear" w:color="auto" w:fill="auto"/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Neemt actief deel aan groepsgesprekken.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Komt afspraken na die in de groep gemaakt zijn.</w:t>
            </w:r>
          </w:p>
        </w:tc>
        <w:tc>
          <w:tcPr>
            <w:tcW w:w="4691" w:type="dxa"/>
            <w:shd w:val="clear" w:color="auto" w:fill="auto"/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Komt afspraken na en kan in groep oplossingen vinden bij conflicten en problemen.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Bepaalt een eigen standpunt en kan dit bijstellen.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 xml:space="preserve">Kan feedback ontvangen 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feedback geven.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nl-NL"/>
              </w:rPr>
              <w:t xml:space="preserve">Leert informatie op hoofdzaken begrijpen. 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nl-NL"/>
              </w:rPr>
              <w:t>Leert de eigen mening met anderen bespreken en leert accepteren dat deze niet altijd gedeeld wordt. </w:t>
            </w:r>
          </w:p>
        </w:tc>
        <w:tc>
          <w:tcPr>
            <w:tcW w:w="4691" w:type="dxa"/>
            <w:shd w:val="clear" w:color="auto" w:fill="auto"/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Stelt kritische vragen bij maatschappelijke ontwikkelingen.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informatie beoordelen.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een eigen standpunt toelichten en verdedigen in een discussie.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beargumenteren waarom hij iets vindt.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nl-NL"/>
              </w:rPr>
              <w:t>Kan het belang van andere mensen in een kwestie benoemen.</w:t>
            </w:r>
          </w:p>
          <w:p w:rsidR="000941AB" w:rsidRPr="00FA26C7" w:rsidRDefault="000941AB" w:rsidP="00661B9C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:rsidR="000941AB" w:rsidRPr="00BF14B8" w:rsidRDefault="000941AB" w:rsidP="000941AB">
      <w:pPr>
        <w:rPr>
          <w:rFonts w:cs="Lucida Sans Unicode"/>
        </w:rPr>
      </w:pPr>
    </w:p>
    <w:p w:rsidR="000941AB" w:rsidRPr="00BF14B8" w:rsidRDefault="000941AB" w:rsidP="000941AB">
      <w:pPr>
        <w:pStyle w:val="Kop1"/>
      </w:pPr>
      <w:r w:rsidRPr="00BF14B8">
        <w:lastRenderedPageBreak/>
        <w:t>Attitudes en vaardigheden identiteit, diversiteit en inclusie</w:t>
      </w:r>
    </w:p>
    <w:p w:rsidR="000941AB" w:rsidRPr="00BF14B8" w:rsidRDefault="000941AB" w:rsidP="000941AB">
      <w:r w:rsidRPr="00BF14B8">
        <w:t>Deze attitudes en vaardigheden bouwen in verschillende fasen op elkaar voort. Bij fase 2 hoort dus automatisch ook wat bij fase staat benoemd.</w:t>
      </w:r>
    </w:p>
    <w:p w:rsidR="000941AB" w:rsidRPr="00BF14B8" w:rsidRDefault="000941AB" w:rsidP="000941AB">
      <w:pPr>
        <w:rPr>
          <w:rFonts w:cs="Lucida Sans Unicode"/>
        </w:rPr>
      </w:pPr>
    </w:p>
    <w:tbl>
      <w:tblPr>
        <w:tblStyle w:val="Tabelraster"/>
        <w:tblW w:w="14073" w:type="dxa"/>
        <w:tblLook w:val="04A0" w:firstRow="1" w:lastRow="0" w:firstColumn="1" w:lastColumn="0" w:noHBand="0" w:noVBand="1"/>
      </w:tblPr>
      <w:tblGrid>
        <w:gridCol w:w="4691"/>
        <w:gridCol w:w="4691"/>
        <w:gridCol w:w="4691"/>
      </w:tblGrid>
      <w:tr w:rsidR="000941AB" w:rsidRPr="00BF14B8" w:rsidTr="00661B9C">
        <w:trPr>
          <w:trHeight w:val="300"/>
        </w:trPr>
        <w:tc>
          <w:tcPr>
            <w:tcW w:w="14073" w:type="dxa"/>
            <w:gridSpan w:val="3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Houdingen en attitudes</w:t>
            </w:r>
          </w:p>
        </w:tc>
      </w:tr>
      <w:tr w:rsidR="000941AB" w:rsidRPr="00BF14B8" w:rsidTr="00661B9C">
        <w:trPr>
          <w:trHeight w:val="300"/>
        </w:trPr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0941AB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1</w:t>
            </w:r>
          </w:p>
        </w:tc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2</w:t>
            </w:r>
          </w:p>
        </w:tc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3</w:t>
            </w:r>
          </w:p>
        </w:tc>
      </w:tr>
      <w:tr w:rsidR="000941AB" w:rsidRPr="00BF14B8" w:rsidTr="00661B9C">
        <w:trPr>
          <w:trHeight w:val="369"/>
        </w:trPr>
        <w:tc>
          <w:tcPr>
            <w:tcW w:w="4691" w:type="dxa"/>
            <w:tcBorders>
              <w:bottom w:val="single" w:sz="4" w:space="0" w:color="auto"/>
            </w:tcBorders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Gaat respectvol om met anderen.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Kijkt vanuit empathie naar de omgeving.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Is behulpzaam naar anderen.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Is betrokken en draagt zorg voor de omgeving.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Ervaart gelijkwaardigheid.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Ontwikkelt zelfkennis.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Ontwikkelt zelfvertrouwen.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anderen betrekken.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Is betrokken bij activiteiten op groeps- en schoolniveau.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 xml:space="preserve">Ontwikkelt assertiviteit. 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Draagt zorg voor de omgeving.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Waardeert verschillen.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Draagt verantwoordelijkheid bij buitenschoolse activiteiten (buurt, milieu, stad).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Is betrokken bij de school.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Is nieuwsgierig naar anderen en de omgeving.</w:t>
            </w:r>
          </w:p>
        </w:tc>
      </w:tr>
      <w:tr w:rsidR="000941AB" w:rsidRPr="00BF14B8" w:rsidTr="00661B9C">
        <w:trPr>
          <w:trHeight w:val="300"/>
        </w:trPr>
        <w:tc>
          <w:tcPr>
            <w:tcW w:w="14073" w:type="dxa"/>
            <w:gridSpan w:val="3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Vaardigheden</w:t>
            </w:r>
          </w:p>
        </w:tc>
      </w:tr>
      <w:tr w:rsidR="000941AB" w:rsidRPr="00BF14B8" w:rsidTr="00661B9C">
        <w:trPr>
          <w:trHeight w:val="300"/>
        </w:trPr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0941AB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1</w:t>
            </w:r>
          </w:p>
        </w:tc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2</w:t>
            </w:r>
          </w:p>
        </w:tc>
        <w:tc>
          <w:tcPr>
            <w:tcW w:w="4691" w:type="dxa"/>
            <w:shd w:val="clear" w:color="auto" w:fill="B8CCE4" w:themeFill="accent1" w:themeFillTint="66"/>
          </w:tcPr>
          <w:p w:rsidR="000941AB" w:rsidRPr="000941AB" w:rsidRDefault="000941AB" w:rsidP="00661B9C">
            <w:pPr>
              <w:rPr>
                <w:rFonts w:ascii="Lucida Sans Unicode" w:hAnsi="Lucida Sans Unicode" w:cs="Lucida Sans Unicode"/>
                <w:bCs/>
                <w:szCs w:val="20"/>
              </w:rPr>
            </w:pPr>
            <w:r w:rsidRPr="000941AB">
              <w:rPr>
                <w:rFonts w:ascii="Lucida Sans Unicode" w:hAnsi="Lucida Sans Unicode" w:cs="Lucida Sans Unicode"/>
                <w:bCs/>
                <w:szCs w:val="20"/>
              </w:rPr>
              <w:t>Fase 3</w:t>
            </w:r>
          </w:p>
        </w:tc>
      </w:tr>
      <w:tr w:rsidR="000941AB" w:rsidRPr="00BF14B8" w:rsidTr="00661B9C">
        <w:trPr>
          <w:trHeight w:val="607"/>
        </w:trPr>
        <w:tc>
          <w:tcPr>
            <w:tcW w:w="4691" w:type="dxa"/>
            <w:shd w:val="clear" w:color="auto" w:fill="auto"/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Neemt actief deel aan groepsgesprekken.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Komt afspraken na die in de groep gemaakt zijn.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nl-NL"/>
              </w:rPr>
              <w:t>Ziet overeenkomsten en verschillen en tussen mensen.</w:t>
            </w:r>
          </w:p>
        </w:tc>
        <w:tc>
          <w:tcPr>
            <w:tcW w:w="4691" w:type="dxa"/>
            <w:shd w:val="clear" w:color="auto" w:fill="auto"/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Komt afspraken na en bedenkt in de groep oplossingen bij conflicten en/of problemen.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nl-NL"/>
              </w:rPr>
              <w:t>Neemt deel aan discussie en overleg.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Bepaalt een eigen standpunt en kan dit bijstellen.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1"/>
              </w:numPr>
              <w:ind w:left="36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omgaan met kritiek.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1"/>
              </w:numPr>
              <w:ind w:left="36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nl-NL"/>
              </w:rPr>
              <w:t>Ziet en waardeert verschillen en overeenkomsten tussen mensen.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1"/>
              </w:numPr>
              <w:ind w:left="36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nl-NL"/>
              </w:rPr>
              <w:t>Draagt bij aan het maken en uitvoeren van regels en afspraken in de school en in de klas. </w:t>
            </w:r>
          </w:p>
        </w:tc>
        <w:tc>
          <w:tcPr>
            <w:tcW w:w="4691" w:type="dxa"/>
            <w:shd w:val="clear" w:color="auto" w:fill="auto"/>
          </w:tcPr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Stelt kritische vragen bij maatschappelijke ontwikkelingen;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informatie op juistheid beoordelen.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een eigen standpunt toelichten en verdedigen in discussie.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nl-NL"/>
              </w:rPr>
              <w:t>Helpt mee aan verbeteringen in de klas of op school, d.m.v. organiseren en initiëren.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nl-NL"/>
              </w:rPr>
              <w:t>Neemt zelf verantwoordelijkheid om mensen- en kinderrechten in de eigen omgeving te beschermen.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eastAsia="Times New Roman" w:hAnsi="Lucida Sans Unicode" w:cs="Lucida Sans Unicode"/>
                <w:color w:val="000000" w:themeColor="text1"/>
                <w:sz w:val="18"/>
                <w:szCs w:val="18"/>
                <w:lang w:eastAsia="nl-NL"/>
              </w:rPr>
              <w:t>Herkent in concrete situaties discriminatie en uitsluiting.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Levert vanuit de eigen identiteit een bijdrage aan de omgeving.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Reflecteert op eigen standpunt en gedrag. 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 xml:space="preserve">Kan wisselen van standpunt. 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Brengt de eigen identiteit en opvattingen in balans met eisen van de samenleving.</w:t>
            </w:r>
          </w:p>
          <w:p w:rsidR="000941AB" w:rsidRPr="00FA26C7" w:rsidRDefault="000941AB" w:rsidP="000941AB">
            <w:pPr>
              <w:pStyle w:val="Lijstalinea"/>
              <w:numPr>
                <w:ilvl w:val="0"/>
                <w:numId w:val="12"/>
              </w:num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A26C7">
              <w:rPr>
                <w:rFonts w:ascii="Lucida Sans Unicode" w:hAnsi="Lucida Sans Unicode" w:cs="Lucida Sans Unicode"/>
                <w:sz w:val="18"/>
                <w:szCs w:val="18"/>
              </w:rPr>
              <w:t>Kan maatschappelijke verschijnselen plaatsen in breder perspectief (bijv. historisch, ruimtelijk, economisch, maatschappelijk).</w:t>
            </w:r>
          </w:p>
        </w:tc>
      </w:tr>
    </w:tbl>
    <w:p w:rsidR="000941AB" w:rsidRPr="00BF14B8" w:rsidRDefault="000941AB" w:rsidP="000941AB">
      <w:pPr>
        <w:rPr>
          <w:rFonts w:cs="Lucida Sans Unicode"/>
        </w:rPr>
      </w:pPr>
    </w:p>
    <w:p w:rsidR="009A77EC" w:rsidRPr="000941AB" w:rsidRDefault="009A77EC" w:rsidP="000941AB"/>
    <w:sectPr w:rsidR="009A77EC" w:rsidRPr="000941AB" w:rsidSect="00536E81">
      <w:headerReference w:type="even" r:id="rId8"/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E81" w:rsidRDefault="00536E81" w:rsidP="003A0A0F">
      <w:r>
        <w:separator/>
      </w:r>
    </w:p>
  </w:endnote>
  <w:endnote w:type="continuationSeparator" w:id="0">
    <w:p w:rsidR="00536E81" w:rsidRDefault="00536E81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(Hoofdtekst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1AB" w:rsidRDefault="00273F25" w:rsidP="000941AB">
    <w:pPr>
      <w:pStyle w:val="Voettekst"/>
    </w:pPr>
    <w:r>
      <w:rPr>
        <w:rFonts w:cs="Lucida Sans Unicode"/>
        <w:sz w:val="18"/>
        <w:szCs w:val="18"/>
      </w:rPr>
      <w:t>©</w:t>
    </w:r>
    <w:r>
      <w:rPr>
        <w:sz w:val="18"/>
        <w:szCs w:val="18"/>
      </w:rPr>
      <w:t xml:space="preserve">BVS-schooladvies. Uit: BVS-schooladvies (2024), </w:t>
    </w:r>
    <w:r>
      <w:rPr>
        <w:i/>
        <w:sz w:val="18"/>
        <w:szCs w:val="18"/>
      </w:rPr>
      <w:t>Leerlijn Burgerschap in het vrijeschoolonderwijs</w:t>
    </w:r>
    <w:r>
      <w:rPr>
        <w:sz w:val="18"/>
        <w:szCs w:val="18"/>
      </w:rPr>
      <w:t>. BVS-schooladvies</w:t>
    </w:r>
    <w:r w:rsidR="000941AB">
      <w:tab/>
    </w:r>
    <w:r w:rsidR="000941AB">
      <w:tab/>
    </w:r>
    <w:r w:rsidR="000941AB">
      <w:tab/>
    </w:r>
    <w:r w:rsidR="000941AB">
      <w:tab/>
    </w:r>
    <w:r w:rsidR="000941AB">
      <w:tab/>
    </w:r>
    <w:sdt>
      <w:sdtPr>
        <w:id w:val="-1150512945"/>
        <w:docPartObj>
          <w:docPartGallery w:val="Page Numbers (Bottom of Page)"/>
          <w:docPartUnique/>
        </w:docPartObj>
      </w:sdtPr>
      <w:sdtEndPr/>
      <w:sdtContent>
        <w:r w:rsidR="000941AB">
          <w:fldChar w:fldCharType="begin"/>
        </w:r>
        <w:r w:rsidR="000941AB">
          <w:instrText>PAGE   \* MERGEFORMAT</w:instrText>
        </w:r>
        <w:r w:rsidR="000941AB">
          <w:fldChar w:fldCharType="separate"/>
        </w:r>
        <w:r>
          <w:rPr>
            <w:noProof/>
          </w:rPr>
          <w:t>2</w:t>
        </w:r>
        <w:r w:rsidR="000941AB">
          <w:fldChar w:fldCharType="end"/>
        </w:r>
      </w:sdtContent>
    </w:sdt>
  </w:p>
  <w:p w:rsidR="000941AB" w:rsidRDefault="000941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E81" w:rsidRDefault="00536E81" w:rsidP="003A0A0F">
      <w:r>
        <w:separator/>
      </w:r>
    </w:p>
  </w:footnote>
  <w:footnote w:type="continuationSeparator" w:id="0">
    <w:p w:rsidR="00536E81" w:rsidRDefault="00536E81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273F25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Pr="000941AB" w:rsidRDefault="009A77EC" w:rsidP="009A77EC">
    <w:pPr>
      <w:pStyle w:val="Koptekst"/>
      <w:jc w:val="right"/>
      <w:rPr>
        <w:sz w:val="16"/>
        <w:szCs w:val="16"/>
      </w:rPr>
    </w:pPr>
    <w:r w:rsidRPr="000941AB">
      <w:rPr>
        <w:noProof/>
        <w:sz w:val="16"/>
        <w:szCs w:val="16"/>
        <w:lang w:eastAsia="nl-NL"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0C37"/>
    <w:multiLevelType w:val="hybridMultilevel"/>
    <w:tmpl w:val="BB3A1F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B2A6F"/>
    <w:multiLevelType w:val="hybridMultilevel"/>
    <w:tmpl w:val="04489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7C2"/>
    <w:multiLevelType w:val="hybridMultilevel"/>
    <w:tmpl w:val="2AECEEAE"/>
    <w:lvl w:ilvl="0" w:tplc="D21E7208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37069"/>
    <w:multiLevelType w:val="hybridMultilevel"/>
    <w:tmpl w:val="A760AE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3299"/>
    <w:multiLevelType w:val="hybridMultilevel"/>
    <w:tmpl w:val="386CDA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52CA22">
      <w:numFmt w:val="bullet"/>
      <w:lvlText w:val="•"/>
      <w:lvlJc w:val="left"/>
      <w:pPr>
        <w:ind w:left="1080" w:hanging="360"/>
      </w:pPr>
      <w:rPr>
        <w:rFonts w:ascii="Lucida Sans" w:eastAsiaTheme="minorHAnsi" w:hAnsi="Lucida Sans" w:cstheme="minorHAns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C4234"/>
    <w:multiLevelType w:val="hybridMultilevel"/>
    <w:tmpl w:val="220A3842"/>
    <w:lvl w:ilvl="0" w:tplc="D21E7208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B0874"/>
    <w:multiLevelType w:val="hybridMultilevel"/>
    <w:tmpl w:val="729437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722518">
      <w:numFmt w:val="bullet"/>
      <w:lvlText w:val="•"/>
      <w:lvlJc w:val="left"/>
      <w:pPr>
        <w:ind w:left="1080" w:hanging="360"/>
      </w:pPr>
      <w:rPr>
        <w:rFonts w:ascii="Lucida Sans" w:eastAsiaTheme="minorHAnsi" w:hAnsi="Lucida Sans" w:cstheme="minorHAns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EB7C95"/>
    <w:multiLevelType w:val="hybridMultilevel"/>
    <w:tmpl w:val="8AB6F7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987A15"/>
    <w:multiLevelType w:val="hybridMultilevel"/>
    <w:tmpl w:val="4752A0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536E81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941AB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637C"/>
    <w:rsid w:val="001D3838"/>
    <w:rsid w:val="001F3E75"/>
    <w:rsid w:val="0021384B"/>
    <w:rsid w:val="00217E85"/>
    <w:rsid w:val="002422D8"/>
    <w:rsid w:val="00263F22"/>
    <w:rsid w:val="00273F25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36E81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5F7EBC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B0D57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73FC1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1507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4A0199"/>
  <w15:docId w15:val="{5770E645-864E-47F9-990B-DB4FE735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E81"/>
    <w:rPr>
      <w:rFonts w:cs="Times New Roman (Hoofdtekst CS)"/>
      <w:kern w:val="2"/>
      <w:szCs w:val="24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eastAsia="Times New Roman" w:hAnsi="Courier New" w:cs="Courier New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36E81"/>
  </w:style>
  <w:style w:type="character" w:styleId="Verwijzingopmerking">
    <w:name w:val="annotation reference"/>
    <w:basedOn w:val="Standaardalinea-lettertype"/>
    <w:uiPriority w:val="99"/>
    <w:semiHidden/>
    <w:unhideWhenUsed/>
    <w:rsid w:val="00536E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6E81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6E81"/>
    <w:rPr>
      <w:rFonts w:cs="Times New Roman (Hoofdtekst CS)"/>
      <w:kern w:val="2"/>
      <w14:ligatures w14:val="standardContextual"/>
    </w:rPr>
  </w:style>
  <w:style w:type="table" w:styleId="Tabelraster">
    <w:name w:val="Table Grid"/>
    <w:basedOn w:val="Standaardtabel"/>
    <w:uiPriority w:val="39"/>
    <w:rsid w:val="00536E81"/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36E81"/>
    <w:rPr>
      <w:rFonts w:cs="Times New Roman (Hoofdtekst CS)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1973-FE7E-42EA-BE1F-F96ED13D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12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van der Ree</dc:creator>
  <cp:lastModifiedBy>Marieke van der Ree</cp:lastModifiedBy>
  <cp:revision>4</cp:revision>
  <dcterms:created xsi:type="dcterms:W3CDTF">2025-09-26T09:56:00Z</dcterms:created>
  <dcterms:modified xsi:type="dcterms:W3CDTF">2025-09-26T10:12:00Z</dcterms:modified>
</cp:coreProperties>
</file>